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9" w:rsidRPr="00AC4389" w:rsidRDefault="00AC4389" w:rsidP="00AC43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4389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66B8E460" wp14:editId="5E1E30B5">
            <wp:extent cx="62865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89" w:rsidRPr="00AC4389" w:rsidRDefault="00AC4389" w:rsidP="00AC4389">
      <w:pPr>
        <w:spacing w:after="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AC4389">
        <w:rPr>
          <w:rFonts w:ascii="Times New Roman" w:hAnsi="Times New Roman" w:cs="Times New Roman"/>
          <w:noProof/>
          <w:color w:val="333333"/>
          <w:sz w:val="26"/>
          <w:szCs w:val="26"/>
        </w:rPr>
        <w:t xml:space="preserve">  </w:t>
      </w:r>
    </w:p>
    <w:p w:rsidR="00AC4389" w:rsidRPr="00AC4389" w:rsidRDefault="00AC4389" w:rsidP="00AC4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389">
        <w:rPr>
          <w:rFonts w:ascii="Times New Roman" w:hAnsi="Times New Roman" w:cs="Times New Roman"/>
          <w:b/>
          <w:bCs/>
          <w:sz w:val="26"/>
          <w:szCs w:val="26"/>
        </w:rPr>
        <w:t>АДМИНИСТРАЦИЯ ПИСКЛОВСКОГО СЕЛЬСКОГО ПОСЕЛЕНИЯ</w:t>
      </w:r>
    </w:p>
    <w:p w:rsidR="00AC4389" w:rsidRPr="00AC4389" w:rsidRDefault="00AC4389" w:rsidP="00AC4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438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C4389" w:rsidRPr="00AC4389" w:rsidRDefault="00AC4389" w:rsidP="00AC43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4389">
        <w:rPr>
          <w:rFonts w:ascii="Times New Roman" w:hAnsi="Times New Roman" w:cs="Times New Roman"/>
          <w:sz w:val="26"/>
          <w:szCs w:val="26"/>
        </w:rPr>
        <w:t xml:space="preserve">456579, Челябинская область, Еткульский район, с. Писклово, ул.Советская-3А                     </w:t>
      </w:r>
    </w:p>
    <w:p w:rsidR="00AC4389" w:rsidRPr="00AC4389" w:rsidRDefault="00AC4389" w:rsidP="00AC43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4389">
        <w:rPr>
          <w:rFonts w:ascii="Times New Roman" w:hAnsi="Times New Roman" w:cs="Times New Roman"/>
          <w:sz w:val="26"/>
          <w:szCs w:val="26"/>
        </w:rPr>
        <w:t>ОГРН 1027401636052 ИНН/КПП 7430000397/743001001</w:t>
      </w:r>
    </w:p>
    <w:p w:rsidR="00AC4389" w:rsidRPr="00AC4389" w:rsidRDefault="00AC4389" w:rsidP="00AC43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C4389" w:rsidRPr="00AC4389" w:rsidRDefault="00AC4389" w:rsidP="00AC43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4389">
        <w:rPr>
          <w:rFonts w:ascii="Times New Roman" w:hAnsi="Times New Roman" w:cs="Times New Roman"/>
          <w:sz w:val="26"/>
          <w:szCs w:val="26"/>
        </w:rPr>
        <w:t>02 апреля 2025 года                                                                                          № 13</w:t>
      </w:r>
    </w:p>
    <w:p w:rsidR="00AC4389" w:rsidRPr="00AC4389" w:rsidRDefault="00AC4389" w:rsidP="00AC43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4389">
        <w:rPr>
          <w:rFonts w:ascii="Times New Roman" w:hAnsi="Times New Roman" w:cs="Times New Roman"/>
          <w:sz w:val="26"/>
          <w:szCs w:val="26"/>
        </w:rPr>
        <w:t>с. Писклово</w:t>
      </w:r>
    </w:p>
    <w:p w:rsidR="00AC4389" w:rsidRPr="00AC4389" w:rsidRDefault="00AC4389" w:rsidP="00AC43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4389" w:rsidRDefault="00E92916" w:rsidP="00AC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</w:t>
      </w:r>
      <w:r w:rsidR="00AC4389" w:rsidRPr="00AC4389">
        <w:rPr>
          <w:rFonts w:ascii="Times New Roman" w:hAnsi="Times New Roman" w:cs="Times New Roman"/>
          <w:sz w:val="28"/>
          <w:szCs w:val="28"/>
        </w:rPr>
        <w:t xml:space="preserve">етодических </w:t>
      </w:r>
    </w:p>
    <w:p w:rsidR="00AC4389" w:rsidRDefault="00AC4389" w:rsidP="00AC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89">
        <w:rPr>
          <w:rFonts w:ascii="Times New Roman" w:hAnsi="Times New Roman" w:cs="Times New Roman"/>
          <w:sz w:val="28"/>
          <w:szCs w:val="28"/>
        </w:rPr>
        <w:t xml:space="preserve">рекомендаций по организации работы </w:t>
      </w:r>
    </w:p>
    <w:p w:rsidR="00AC4389" w:rsidRDefault="00AC4389" w:rsidP="00AC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89">
        <w:rPr>
          <w:rFonts w:ascii="Times New Roman" w:hAnsi="Times New Roman" w:cs="Times New Roman"/>
          <w:sz w:val="28"/>
          <w:szCs w:val="28"/>
        </w:rPr>
        <w:t xml:space="preserve">по выявлению индикаторов риска нарушения </w:t>
      </w:r>
    </w:p>
    <w:p w:rsidR="00AC4389" w:rsidRDefault="00AC4389" w:rsidP="00AC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89">
        <w:rPr>
          <w:rFonts w:ascii="Times New Roman" w:hAnsi="Times New Roman" w:cs="Times New Roman"/>
          <w:sz w:val="28"/>
          <w:szCs w:val="28"/>
        </w:rPr>
        <w:t>обязательных требований, используемых</w:t>
      </w:r>
    </w:p>
    <w:p w:rsidR="00AC4389" w:rsidRPr="00AC4389" w:rsidRDefault="00AC4389" w:rsidP="00AC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8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AC4389" w:rsidRDefault="00AC4389" w:rsidP="00AC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89" w:rsidRPr="00AC4389" w:rsidRDefault="00AC4389" w:rsidP="00AC43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4389" w:rsidRPr="009E1F1C" w:rsidRDefault="009E1F1C" w:rsidP="00AC4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C4389" w:rsidRPr="009E1F1C">
        <w:rPr>
          <w:rFonts w:ascii="Times New Roman" w:hAnsi="Times New Roman" w:cs="Times New Roman"/>
          <w:sz w:val="28"/>
          <w:szCs w:val="28"/>
        </w:rPr>
        <w:t>В целях снижения количества отказов органами прокуратуры в согласовании проведения контрольных (надзорных) мероприятий по основаниям, связанным с выявлением индикаторов риска нарушения обязательных требований, контрольным (надзорным) органам при направлении решений о проведении контрольных (надзорных) мероприятий в органы прокуратуры рекомендуется прилагать следующий перечень документов и материалов</w:t>
      </w:r>
    </w:p>
    <w:p w:rsidR="00AC4389" w:rsidRPr="009E1F1C" w:rsidRDefault="00AC4389" w:rsidP="00AC4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389" w:rsidRPr="009E1F1C" w:rsidRDefault="00AC4389" w:rsidP="00AC4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администрация Пискловского сельского поселения ПОСТАНОВЛЯЕТ: </w:t>
      </w:r>
    </w:p>
    <w:p w:rsidR="009E1F1C" w:rsidRDefault="009E1F1C" w:rsidP="00E56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1F1C" w:rsidRDefault="009E1F1C" w:rsidP="009E1F1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1F1C">
        <w:rPr>
          <w:rFonts w:ascii="Times New Roman" w:hAnsi="Times New Roman" w:cs="Times New Roman"/>
          <w:sz w:val="28"/>
          <w:szCs w:val="28"/>
        </w:rPr>
        <w:t xml:space="preserve">твердить прилагаемые Методические рекомендации по организации работы по выявлению индикаторов риска нарушения обязательных требований, используемых при осуществлении видов государственного контроля (надзора). </w:t>
      </w:r>
    </w:p>
    <w:p w:rsidR="009E1F1C" w:rsidRDefault="009E1F1C" w:rsidP="009E1F1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</w:t>
      </w:r>
    </w:p>
    <w:p w:rsidR="009E1F1C" w:rsidRDefault="009E1F1C" w:rsidP="009E1F1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собою.</w:t>
      </w:r>
    </w:p>
    <w:p w:rsidR="009E1F1C" w:rsidRDefault="009E1F1C" w:rsidP="009E1F1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Пискловского сельского поселения.</w:t>
      </w:r>
    </w:p>
    <w:p w:rsidR="009E1F1C" w:rsidRDefault="009E1F1C" w:rsidP="009E1F1C">
      <w:pPr>
        <w:rPr>
          <w:rFonts w:ascii="Times New Roman" w:hAnsi="Times New Roman" w:cs="Times New Roman"/>
          <w:sz w:val="28"/>
          <w:szCs w:val="28"/>
        </w:rPr>
      </w:pPr>
    </w:p>
    <w:p w:rsidR="009E1F1C" w:rsidRDefault="009E1F1C" w:rsidP="009E1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Пискловского</w:t>
      </w:r>
    </w:p>
    <w:p w:rsidR="009E1F1C" w:rsidRPr="009E1F1C" w:rsidRDefault="009E1F1C" w:rsidP="009E1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С.А. Селезнева</w:t>
      </w:r>
    </w:p>
    <w:p w:rsidR="00AC4389" w:rsidRDefault="00AC4389" w:rsidP="00E56A69">
      <w:pPr>
        <w:rPr>
          <w:rFonts w:ascii="Times New Roman" w:hAnsi="Times New Roman" w:cs="Times New Roman"/>
          <w:b/>
          <w:sz w:val="28"/>
          <w:szCs w:val="28"/>
        </w:rPr>
      </w:pPr>
    </w:p>
    <w:p w:rsidR="00E56A69" w:rsidRPr="009E1F1C" w:rsidRDefault="00167AE6" w:rsidP="00E56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B53BB0" w:rsidRPr="009E1F1C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56A69" w:rsidRPr="009E1F1C" w:rsidRDefault="00E92916" w:rsidP="00E56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56A69" w:rsidRPr="009E1F1C">
        <w:rPr>
          <w:rFonts w:ascii="Times New Roman" w:hAnsi="Times New Roman" w:cs="Times New Roman"/>
          <w:sz w:val="28"/>
          <w:szCs w:val="28"/>
        </w:rPr>
        <w:t xml:space="preserve">дминистрации Пискловского </w:t>
      </w:r>
    </w:p>
    <w:p w:rsidR="00167AE6" w:rsidRPr="009E1F1C" w:rsidRDefault="00E56A69" w:rsidP="00E56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7AE6" w:rsidRPr="009E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AE6" w:rsidRPr="009E1F1C" w:rsidRDefault="00AD4E37" w:rsidP="00E56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от 02.04.2025 г. № 13</w:t>
      </w:r>
    </w:p>
    <w:p w:rsidR="00456A79" w:rsidRPr="009E1F1C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5BA" w:rsidRPr="009E1F1C" w:rsidRDefault="00C17A3F" w:rsidP="009E1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 xml:space="preserve">Методических рекомендаций по организации работы по выявлению индикаторов риска нарушения обязательных требований, используемых при осуществлении </w:t>
      </w:r>
      <w:r w:rsidR="00AD4E37" w:rsidRPr="009E1F1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E1F1C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007066" w:rsidRPr="009E1F1C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9E1F1C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07066" w:rsidRPr="009E1F1C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9E1F1C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E1F1C">
        <w:rPr>
          <w:sz w:val="28"/>
          <w:szCs w:val="28"/>
        </w:rPr>
        <w:t>1. Методические рекомендации по организации работы по выявлению индикаторов риска нарушения обязательных требований, используемы</w:t>
      </w:r>
      <w:r w:rsidR="00AD4E37" w:rsidRPr="009E1F1C">
        <w:rPr>
          <w:sz w:val="28"/>
          <w:szCs w:val="28"/>
        </w:rPr>
        <w:t>х при осуществлении муниципального</w:t>
      </w:r>
      <w:r w:rsidRPr="009E1F1C">
        <w:rPr>
          <w:sz w:val="28"/>
          <w:szCs w:val="28"/>
        </w:rPr>
        <w:t xml:space="preserve"> ко</w:t>
      </w:r>
      <w:r w:rsidR="00AD4E37" w:rsidRPr="009E1F1C">
        <w:rPr>
          <w:sz w:val="28"/>
          <w:szCs w:val="28"/>
        </w:rPr>
        <w:t>нтроля</w:t>
      </w:r>
      <w:r w:rsidR="00E56A69" w:rsidRPr="009E1F1C">
        <w:rPr>
          <w:sz w:val="28"/>
          <w:szCs w:val="28"/>
        </w:rPr>
        <w:t xml:space="preserve"> (надзора)</w:t>
      </w:r>
      <w:r w:rsidR="00AD4E37" w:rsidRPr="009E1F1C">
        <w:rPr>
          <w:sz w:val="28"/>
          <w:szCs w:val="28"/>
        </w:rPr>
        <w:t>, на территории Администрации Пискловского сельского поселения</w:t>
      </w:r>
      <w:r w:rsidRPr="009E1F1C">
        <w:rPr>
          <w:sz w:val="28"/>
          <w:szCs w:val="28"/>
        </w:rPr>
        <w:t xml:space="preserve"> 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</w:t>
      </w:r>
      <w:r w:rsidR="00E56A69" w:rsidRPr="009E1F1C">
        <w:rPr>
          <w:sz w:val="28"/>
          <w:szCs w:val="28"/>
        </w:rPr>
        <w:t>онтроле в Российской Федерации» и оценки риска причинения вреда (ущерба)</w:t>
      </w:r>
      <w:r w:rsidR="00156E9D" w:rsidRPr="009E1F1C">
        <w:rPr>
          <w:sz w:val="28"/>
          <w:szCs w:val="28"/>
        </w:rPr>
        <w:t xml:space="preserve"> при принятии решения о проведении </w:t>
      </w:r>
      <w:r w:rsidR="00E56A69" w:rsidRPr="009E1F1C">
        <w:rPr>
          <w:sz w:val="28"/>
          <w:szCs w:val="28"/>
        </w:rPr>
        <w:t xml:space="preserve">внепланового контрольного (надзорного) </w:t>
      </w:r>
      <w:r w:rsidR="00156E9D" w:rsidRPr="009E1F1C">
        <w:rPr>
          <w:sz w:val="28"/>
          <w:szCs w:val="28"/>
        </w:rPr>
        <w:t>мероприятия</w:t>
      </w:r>
      <w:r w:rsidRPr="009E1F1C">
        <w:rPr>
          <w:sz w:val="28"/>
          <w:szCs w:val="28"/>
        </w:rPr>
        <w:t>.</w:t>
      </w:r>
    </w:p>
    <w:p w:rsidR="00167AE6" w:rsidRPr="009E1F1C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E1F1C">
        <w:rPr>
          <w:sz w:val="28"/>
          <w:szCs w:val="28"/>
        </w:rPr>
        <w:t xml:space="preserve">2. В соответствии с частью 9 статьи 23 Федерального закона </w:t>
      </w:r>
      <w:r w:rsidR="00E56A69" w:rsidRPr="009E1F1C">
        <w:rPr>
          <w:sz w:val="28"/>
          <w:szCs w:val="28"/>
        </w:rPr>
        <w:t xml:space="preserve">от 31 июля 2020г. </w:t>
      </w:r>
      <w:r w:rsidRPr="009E1F1C">
        <w:rPr>
          <w:sz w:val="28"/>
          <w:szCs w:val="28"/>
        </w:rPr>
        <w:t>№ 248-</w:t>
      </w:r>
      <w:r w:rsidR="00200DDC" w:rsidRPr="009E1F1C">
        <w:rPr>
          <w:sz w:val="28"/>
          <w:szCs w:val="28"/>
        </w:rPr>
        <w:t>ФЗ</w:t>
      </w:r>
      <w:r w:rsidR="00CA391A" w:rsidRPr="009E1F1C">
        <w:rPr>
          <w:sz w:val="28"/>
          <w:szCs w:val="28"/>
        </w:rPr>
        <w:t xml:space="preserve"> </w:t>
      </w:r>
      <w:r w:rsidRPr="009E1F1C">
        <w:rPr>
          <w:sz w:val="28"/>
          <w:szCs w:val="28"/>
        </w:rPr>
        <w:t xml:space="preserve">индикатором риска нарушения обязательных требований </w:t>
      </w:r>
      <w:r w:rsidR="00156E9D" w:rsidRPr="009E1F1C">
        <w:rPr>
          <w:sz w:val="28"/>
          <w:szCs w:val="28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9E1F1C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</w:t>
      </w:r>
      <w:r w:rsidR="00AD4E37" w:rsidRPr="009E1F1C">
        <w:rPr>
          <w:rFonts w:ascii="Times New Roman" w:hAnsi="Times New Roman" w:cs="Times New Roman"/>
          <w:sz w:val="28"/>
          <w:szCs w:val="28"/>
        </w:rPr>
        <w:t xml:space="preserve">уществлении муниципального </w:t>
      </w:r>
      <w:r w:rsidRPr="009E1F1C">
        <w:rPr>
          <w:rFonts w:ascii="Times New Roman" w:hAnsi="Times New Roman" w:cs="Times New Roman"/>
          <w:sz w:val="28"/>
          <w:szCs w:val="28"/>
        </w:rPr>
        <w:t>контроля</w:t>
      </w:r>
      <w:r w:rsidR="001A28CF" w:rsidRPr="009E1F1C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156E9D" w:rsidRPr="009E1F1C">
        <w:rPr>
          <w:rFonts w:ascii="Times New Roman" w:hAnsi="Times New Roman" w:cs="Times New Roman"/>
          <w:sz w:val="28"/>
          <w:szCs w:val="28"/>
        </w:rPr>
        <w:t>.</w:t>
      </w:r>
    </w:p>
    <w:p w:rsidR="00C43D61" w:rsidRPr="009E1F1C" w:rsidRDefault="00167AE6" w:rsidP="001A28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4. Методические рекомендации предназначены для долж</w:t>
      </w:r>
      <w:r w:rsidR="001A28CF" w:rsidRPr="009E1F1C">
        <w:rPr>
          <w:rFonts w:ascii="Times New Roman" w:hAnsi="Times New Roman" w:cs="Times New Roman"/>
          <w:sz w:val="28"/>
          <w:szCs w:val="28"/>
        </w:rPr>
        <w:t>ностных лиц Администрации Пискловского сельского поселения</w:t>
      </w:r>
      <w:r w:rsidRPr="009E1F1C">
        <w:rPr>
          <w:rFonts w:ascii="Times New Roman" w:hAnsi="Times New Roman" w:cs="Times New Roman"/>
          <w:sz w:val="28"/>
          <w:szCs w:val="28"/>
        </w:rPr>
        <w:t xml:space="preserve">, к должностным обязанностям которых отнесено осуществление </w:t>
      </w:r>
      <w:r w:rsidR="00AD4E37" w:rsidRPr="009E1F1C">
        <w:rPr>
          <w:rFonts w:ascii="Times New Roman" w:hAnsi="Times New Roman" w:cs="Times New Roman"/>
          <w:sz w:val="28"/>
          <w:szCs w:val="28"/>
        </w:rPr>
        <w:t xml:space="preserve">муниципального надзорного </w:t>
      </w:r>
      <w:r w:rsidR="00932EDB" w:rsidRPr="009E1F1C">
        <w:rPr>
          <w:rFonts w:ascii="Times New Roman" w:hAnsi="Times New Roman" w:cs="Times New Roman"/>
          <w:sz w:val="28"/>
          <w:szCs w:val="28"/>
        </w:rPr>
        <w:t>контроля</w:t>
      </w:r>
      <w:r w:rsidR="001A28CF" w:rsidRPr="009E1F1C">
        <w:rPr>
          <w:rFonts w:ascii="Times New Roman" w:hAnsi="Times New Roman" w:cs="Times New Roman"/>
          <w:sz w:val="28"/>
          <w:szCs w:val="28"/>
        </w:rPr>
        <w:t xml:space="preserve"> (надзора) установленных в пункте 3 Методических рекомендаций</w:t>
      </w:r>
      <w:r w:rsidR="00200DDC" w:rsidRPr="009E1F1C">
        <w:rPr>
          <w:rFonts w:ascii="Times New Roman" w:hAnsi="Times New Roman" w:cs="Times New Roman"/>
          <w:sz w:val="28"/>
          <w:szCs w:val="28"/>
        </w:rPr>
        <w:t>.</w:t>
      </w:r>
      <w:r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C43D61" w:rsidRPr="009E1F1C">
        <w:rPr>
          <w:rFonts w:ascii="Times New Roman" w:hAnsi="Times New Roman" w:cs="Times New Roman"/>
          <w:sz w:val="28"/>
          <w:szCs w:val="28"/>
        </w:rPr>
        <w:br/>
      </w:r>
    </w:p>
    <w:p w:rsidR="00932EDB" w:rsidRPr="009E1F1C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 xml:space="preserve">II. Организация работ по выявлению индикаторов </w:t>
      </w:r>
    </w:p>
    <w:p w:rsidR="00932EDB" w:rsidRPr="009E1F1C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>риска нарушения обязательных требований</w:t>
      </w:r>
    </w:p>
    <w:p w:rsidR="00C43D61" w:rsidRPr="009E1F1C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2EDB" w:rsidRPr="009E1F1C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5. Работа по выявлению индикаторов риска нарушения обязательных требований организуется в</w:t>
      </w:r>
      <w:r w:rsidR="00C43D61"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456A79" w:rsidRPr="009E1F1C">
        <w:rPr>
          <w:rFonts w:ascii="Times New Roman" w:hAnsi="Times New Roman" w:cs="Times New Roman"/>
          <w:sz w:val="28"/>
          <w:szCs w:val="28"/>
        </w:rPr>
        <w:t>контрольном органе</w:t>
      </w:r>
      <w:r w:rsidR="001A28CF" w:rsidRPr="009E1F1C">
        <w:rPr>
          <w:rFonts w:ascii="Times New Roman" w:hAnsi="Times New Roman" w:cs="Times New Roman"/>
          <w:sz w:val="28"/>
          <w:szCs w:val="28"/>
        </w:rPr>
        <w:t xml:space="preserve"> Администрации Пискловского сельского поселения</w:t>
      </w:r>
      <w:r w:rsidR="004F6778" w:rsidRPr="009E1F1C">
        <w:rPr>
          <w:rFonts w:ascii="Times New Roman" w:hAnsi="Times New Roman" w:cs="Times New Roman"/>
          <w:sz w:val="28"/>
          <w:szCs w:val="28"/>
        </w:rPr>
        <w:t>, осуществляющих виды государственного контроля (надзора), указанные в пункте 3 Методических рекомендаций</w:t>
      </w:r>
      <w:r w:rsidRPr="009E1F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82D44" w:rsidRPr="009E1F1C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lastRenderedPageBreak/>
        <w:t>6. Выявление индикаторов риска нарушения обязательных требований предусматривает сбор</w:t>
      </w:r>
      <w:r w:rsidR="00D82D44" w:rsidRPr="009E1F1C">
        <w:rPr>
          <w:rFonts w:ascii="Times New Roman" w:hAnsi="Times New Roman" w:cs="Times New Roman"/>
          <w:sz w:val="28"/>
          <w:szCs w:val="28"/>
        </w:rPr>
        <w:t>, обработку</w:t>
      </w:r>
      <w:r w:rsidRPr="009E1F1C">
        <w:rPr>
          <w:rFonts w:ascii="Times New Roman" w:hAnsi="Times New Roman" w:cs="Times New Roman"/>
          <w:sz w:val="28"/>
          <w:szCs w:val="28"/>
        </w:rPr>
        <w:t xml:space="preserve"> и анализ информации,</w:t>
      </w:r>
      <w:r w:rsidR="00D82D44" w:rsidRPr="009E1F1C">
        <w:rPr>
          <w:rFonts w:ascii="Times New Roman" w:hAnsi="Times New Roman" w:cs="Times New Roman"/>
          <w:sz w:val="28"/>
          <w:szCs w:val="28"/>
        </w:rPr>
        <w:t xml:space="preserve"> об объектах контроля,</w:t>
      </w:r>
      <w:r w:rsidRPr="009E1F1C">
        <w:rPr>
          <w:rFonts w:ascii="Times New Roman" w:hAnsi="Times New Roman" w:cs="Times New Roman"/>
          <w:sz w:val="28"/>
          <w:szCs w:val="28"/>
        </w:rPr>
        <w:t xml:space="preserve"> поступающей при реализации полномочий по осуществлению муниципального</w:t>
      </w:r>
      <w:r w:rsidR="00AD4E37" w:rsidRPr="009E1F1C">
        <w:rPr>
          <w:rFonts w:ascii="Times New Roman" w:hAnsi="Times New Roman" w:cs="Times New Roman"/>
          <w:sz w:val="28"/>
          <w:szCs w:val="28"/>
        </w:rPr>
        <w:t xml:space="preserve"> надзорного </w:t>
      </w:r>
      <w:r w:rsidRPr="009E1F1C">
        <w:rPr>
          <w:rFonts w:ascii="Times New Roman" w:hAnsi="Times New Roman" w:cs="Times New Roman"/>
          <w:sz w:val="28"/>
          <w:szCs w:val="28"/>
        </w:rPr>
        <w:t>контроля,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9E1F1C">
        <w:rPr>
          <w:rFonts w:ascii="Times New Roman" w:hAnsi="Times New Roman" w:cs="Times New Roman"/>
          <w:sz w:val="28"/>
          <w:szCs w:val="28"/>
        </w:rPr>
        <w:t>х официальных источниках данных, а также общедоступной информации, в том числе размещенной в сети «Интернет».</w:t>
      </w:r>
    </w:p>
    <w:p w:rsidR="00932EDB" w:rsidRPr="009E1F1C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7. Для обеспечения надлежащего выявления индикаторов риска нарушения обязательных требований ответственными структурными подразделениями определяются должностные лица, ответственные за выявление индикаторов риска нарушения обязательных требований. Ответственность за </w:t>
      </w:r>
      <w:r w:rsidR="00421F5C" w:rsidRPr="009E1F1C">
        <w:rPr>
          <w:rFonts w:ascii="Times New Roman" w:hAnsi="Times New Roman" w:cs="Times New Roman"/>
          <w:sz w:val="28"/>
          <w:szCs w:val="28"/>
        </w:rPr>
        <w:t>организацию работ несет исполняющий обязанности главы Пискловского сельского поселения</w:t>
      </w:r>
      <w:r w:rsidRPr="009E1F1C">
        <w:rPr>
          <w:rFonts w:ascii="Times New Roman" w:hAnsi="Times New Roman" w:cs="Times New Roman"/>
          <w:i/>
          <w:sz w:val="28"/>
          <w:szCs w:val="28"/>
        </w:rPr>
        <w:t>.</w:t>
      </w:r>
    </w:p>
    <w:p w:rsidR="00CA391A" w:rsidRPr="009E1F1C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EDB" w:rsidRPr="009E1F1C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 xml:space="preserve">III. Выявление индикаторов риска нарушения обязательных требований </w:t>
      </w:r>
    </w:p>
    <w:p w:rsidR="00932EDB" w:rsidRPr="009E1F1C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38C1" w:rsidRPr="009E1F1C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8</w:t>
      </w:r>
      <w:r w:rsidR="00932EDB" w:rsidRPr="009E1F1C">
        <w:rPr>
          <w:rFonts w:ascii="Times New Roman" w:hAnsi="Times New Roman" w:cs="Times New Roman"/>
          <w:sz w:val="28"/>
          <w:szCs w:val="28"/>
        </w:rPr>
        <w:t>. Перечень индикаторов риска нарушения обязательных требований,</w:t>
      </w:r>
      <w:r w:rsidR="00421F5C" w:rsidRPr="009E1F1C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муниципального</w:t>
      </w:r>
      <w:r w:rsidR="00AD4E37" w:rsidRPr="009E1F1C">
        <w:rPr>
          <w:rFonts w:ascii="Times New Roman" w:hAnsi="Times New Roman" w:cs="Times New Roman"/>
          <w:sz w:val="28"/>
          <w:szCs w:val="28"/>
        </w:rPr>
        <w:t xml:space="preserve"> надзорного</w:t>
      </w:r>
      <w:r w:rsidR="004B38C1" w:rsidRPr="009E1F1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32EDB" w:rsidRPr="009E1F1C">
        <w:rPr>
          <w:rFonts w:ascii="Times New Roman" w:hAnsi="Times New Roman" w:cs="Times New Roman"/>
          <w:sz w:val="28"/>
          <w:szCs w:val="28"/>
        </w:rPr>
        <w:t xml:space="preserve">, утвержден </w:t>
      </w:r>
      <w:r w:rsidR="00421F5C" w:rsidRPr="009E1F1C">
        <w:rPr>
          <w:rFonts w:ascii="Times New Roman" w:hAnsi="Times New Roman" w:cs="Times New Roman"/>
          <w:sz w:val="28"/>
          <w:szCs w:val="28"/>
        </w:rPr>
        <w:t>решением Совет депутатов Пискловского сельского поселения от 20.10.2022г. № 79.</w:t>
      </w:r>
    </w:p>
    <w:p w:rsidR="00932EDB" w:rsidRPr="009E1F1C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9. Для выявления индикатора риска нарушения обязательных требований, предусмотренного пунктом 1 перечня индикаторов</w:t>
      </w:r>
      <w:r w:rsidR="00D82D44" w:rsidRPr="009E1F1C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4B38C1" w:rsidRPr="009E1F1C">
        <w:rPr>
          <w:rFonts w:ascii="Times New Roman" w:hAnsi="Times New Roman" w:cs="Times New Roman"/>
          <w:sz w:val="28"/>
          <w:szCs w:val="28"/>
        </w:rPr>
        <w:t xml:space="preserve">, используются сведения контрольного органа, </w:t>
      </w:r>
      <w:r w:rsidR="00913404" w:rsidRPr="009E1F1C">
        <w:rPr>
          <w:rFonts w:ascii="Times New Roman" w:hAnsi="Times New Roman" w:cs="Times New Roman"/>
          <w:sz w:val="28"/>
          <w:szCs w:val="28"/>
        </w:rPr>
        <w:t>выявленные</w:t>
      </w:r>
      <w:r w:rsidR="004B38C1" w:rsidRPr="009E1F1C">
        <w:rPr>
          <w:rFonts w:ascii="Times New Roman" w:hAnsi="Times New Roman" w:cs="Times New Roman"/>
          <w:sz w:val="28"/>
          <w:szCs w:val="28"/>
        </w:rPr>
        <w:t xml:space="preserve"> в результате проведения контрольного</w:t>
      </w:r>
      <w:r w:rsidR="00D82D44" w:rsidRPr="009E1F1C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="004B38C1" w:rsidRPr="009E1F1C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</w:t>
      </w:r>
      <w:r w:rsidRPr="009E1F1C">
        <w:rPr>
          <w:rFonts w:ascii="Times New Roman" w:hAnsi="Times New Roman" w:cs="Times New Roman"/>
          <w:sz w:val="28"/>
          <w:szCs w:val="28"/>
        </w:rPr>
        <w:t>.</w:t>
      </w:r>
    </w:p>
    <w:p w:rsidR="004B38C1" w:rsidRPr="009E1F1C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Порядок проведения контрольного (надзорного) мероприятия без взаимодействия установлен </w:t>
      </w:r>
      <w:r w:rsidR="00421F5C" w:rsidRPr="009E1F1C">
        <w:rPr>
          <w:rFonts w:ascii="Times New Roman" w:hAnsi="Times New Roman" w:cs="Times New Roman"/>
          <w:sz w:val="28"/>
          <w:szCs w:val="28"/>
        </w:rPr>
        <w:t>пунктом 3</w:t>
      </w:r>
      <w:r w:rsidR="00641EE2"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Pr="009E1F1C">
        <w:rPr>
          <w:rFonts w:ascii="Times New Roman" w:hAnsi="Times New Roman" w:cs="Times New Roman"/>
          <w:sz w:val="28"/>
          <w:szCs w:val="28"/>
        </w:rPr>
        <w:t>Положени</w:t>
      </w:r>
      <w:r w:rsidR="00641EE2" w:rsidRPr="009E1F1C">
        <w:rPr>
          <w:rFonts w:ascii="Times New Roman" w:hAnsi="Times New Roman" w:cs="Times New Roman"/>
          <w:sz w:val="28"/>
          <w:szCs w:val="28"/>
        </w:rPr>
        <w:t>я</w:t>
      </w:r>
      <w:r w:rsidR="00421F5C" w:rsidRPr="009E1F1C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Пискловского сельского поселения.</w:t>
      </w:r>
    </w:p>
    <w:p w:rsidR="00DA3F10" w:rsidRPr="009E1F1C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внепланового контрольного (надзорного) мероприятия по </w:t>
      </w:r>
      <w:r w:rsidR="00CA391A" w:rsidRPr="009E1F1C">
        <w:rPr>
          <w:rFonts w:ascii="Times New Roman" w:hAnsi="Times New Roman" w:cs="Times New Roman"/>
          <w:sz w:val="28"/>
          <w:szCs w:val="28"/>
        </w:rPr>
        <w:t>индикаторам риска</w:t>
      </w:r>
      <w:r w:rsidRPr="009E1F1C">
        <w:rPr>
          <w:rFonts w:ascii="Times New Roman" w:hAnsi="Times New Roman" w:cs="Times New Roman"/>
          <w:sz w:val="28"/>
          <w:szCs w:val="28"/>
        </w:rPr>
        <w:t xml:space="preserve"> в соответствии с пунктом 1 части 1 статьи 57 Федерального закона № 248-ФЗ будет </w:t>
      </w:r>
      <w:r w:rsidR="00421F5C" w:rsidRPr="009E1F1C">
        <w:rPr>
          <w:rFonts w:ascii="Times New Roman" w:hAnsi="Times New Roman" w:cs="Times New Roman"/>
          <w:sz w:val="28"/>
          <w:szCs w:val="28"/>
        </w:rPr>
        <w:t>являться выявленный по результатам анализа информации, указанной в пункте 9 абзац 2</w:t>
      </w:r>
      <w:r w:rsidR="00DA3F10" w:rsidRPr="009E1F1C">
        <w:rPr>
          <w:rFonts w:ascii="Times New Roman" w:hAnsi="Times New Roman" w:cs="Times New Roman"/>
          <w:sz w:val="28"/>
          <w:szCs w:val="28"/>
        </w:rPr>
        <w:t>, факт того, что на опасном объекте в течения календарного года (период времени с 1 января по 31 декабря) произошло три и более инцидента.</w:t>
      </w:r>
      <w:r w:rsidR="00421F5C" w:rsidRPr="009E1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404" w:rsidRPr="009E1F1C" w:rsidRDefault="00641EE2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Выявление индикатора осуществляется при сверке данных размещенных в Едином государственном реестре недвижимости сведений о правах на используемый юридическим лицом, индивидуальным предпринимателем и фактических данных, выявленных в ходе выездного обследования, проведенного не менее двух раз за 30 календарных дней. Выявленные отклонения</w:t>
      </w:r>
      <w:r w:rsidR="00DA3F10" w:rsidRPr="009E1F1C">
        <w:rPr>
          <w:rFonts w:ascii="Times New Roman" w:hAnsi="Times New Roman" w:cs="Times New Roman"/>
          <w:sz w:val="28"/>
          <w:szCs w:val="28"/>
        </w:rPr>
        <w:t xml:space="preserve"> фиксируются в акте муниципального</w:t>
      </w:r>
      <w:r w:rsidRPr="009E1F1C">
        <w:rPr>
          <w:rFonts w:ascii="Times New Roman" w:hAnsi="Times New Roman" w:cs="Times New Roman"/>
          <w:sz w:val="28"/>
          <w:szCs w:val="28"/>
        </w:rPr>
        <w:t xml:space="preserve"> (контрольного) надзорного мероприятия без взаимодействия.</w:t>
      </w:r>
    </w:p>
    <w:p w:rsidR="00965856" w:rsidRPr="009E1F1C" w:rsidRDefault="0096585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lastRenderedPageBreak/>
        <w:t>Перечень документов и материалов, направляемых в органы прокуратуры в целях согласования и проведения контрольных (надзорных) мероприятий) при срабатывании индикатора риска нарушения обязательных требований, предусмотренного пунктом 1 перечня индикаторов риска:</w:t>
      </w:r>
    </w:p>
    <w:p w:rsidR="00FA3DFA" w:rsidRPr="009E1F1C" w:rsidRDefault="00B420C9" w:rsidP="00FA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а) Мотивированное представление о необходимости проведения контрольного (надзорного) мероприятия </w:t>
      </w:r>
      <w:r w:rsidR="00FA3DFA" w:rsidRPr="009E1F1C">
        <w:rPr>
          <w:rFonts w:ascii="Times New Roman" w:hAnsi="Times New Roman" w:cs="Times New Roman"/>
          <w:sz w:val="28"/>
          <w:szCs w:val="28"/>
        </w:rPr>
        <w:t xml:space="preserve">с указанием исчерпывающих данных о проведённых контрольным (надзорным) 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(надзорного) мероприятия со взаимодействием, подписанное должностным лицом контрольного (надзорного) органа (в том числе усиленной квалификационной электронной подписью (ЭЦП); </w:t>
      </w:r>
    </w:p>
    <w:p w:rsidR="00F72C57" w:rsidRPr="009E1F1C" w:rsidRDefault="00FA3DFA" w:rsidP="00FA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В мотивированном представлении необходимо обосновывать перечень контрольных (надзорного) действий </w:t>
      </w:r>
      <w:r w:rsidR="00F72C57" w:rsidRPr="009E1F1C">
        <w:rPr>
          <w:rFonts w:ascii="Times New Roman" w:hAnsi="Times New Roman" w:cs="Times New Roman"/>
          <w:sz w:val="28"/>
          <w:szCs w:val="28"/>
        </w:rPr>
        <w:t>и их объем, требующих значительных временных затрат.</w:t>
      </w:r>
    </w:p>
    <w:p w:rsidR="00F72C57" w:rsidRPr="009E1F1C" w:rsidRDefault="00F72C57" w:rsidP="00FA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Для определения предмета КНМ в мотивированном представлении следует отражать конкретные обязательные требования, о вероятности нарушения которых свидетельствует срабатывание индикатора.</w:t>
      </w:r>
    </w:p>
    <w:p w:rsidR="00312BC8" w:rsidRPr="009E1F1C" w:rsidRDefault="00F72C57" w:rsidP="00FA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б)</w:t>
      </w:r>
      <w:r w:rsidR="00437F2E"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Pr="009E1F1C">
        <w:rPr>
          <w:rFonts w:ascii="Times New Roman" w:hAnsi="Times New Roman" w:cs="Times New Roman"/>
          <w:sz w:val="28"/>
          <w:szCs w:val="28"/>
        </w:rPr>
        <w:t>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выписка из ЕГРН, ЕГРЮЛ (ЕГРИП)</w:t>
      </w:r>
      <w:r w:rsidR="00312BC8" w:rsidRPr="009E1F1C">
        <w:rPr>
          <w:rFonts w:ascii="Times New Roman" w:hAnsi="Times New Roman" w:cs="Times New Roman"/>
          <w:sz w:val="28"/>
          <w:szCs w:val="28"/>
        </w:rPr>
        <w:t>;</w:t>
      </w:r>
    </w:p>
    <w:p w:rsidR="00726279" w:rsidRPr="009E1F1C" w:rsidRDefault="00437F2E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в)  </w:t>
      </w:r>
      <w:r w:rsidR="00312BC8" w:rsidRPr="009E1F1C">
        <w:rPr>
          <w:rFonts w:ascii="Times New Roman" w:hAnsi="Times New Roman" w:cs="Times New Roman"/>
          <w:sz w:val="28"/>
          <w:szCs w:val="28"/>
        </w:rPr>
        <w:t>Задание о проведении контрольного (надзорного)</w:t>
      </w:r>
      <w:r w:rsidRPr="009E1F1C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взаимодействия, проведенное в целях оценки достоверности сведений, поступивших в контрольный (надзорный) орган (выявленных контрольным (надзорным) органам),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 (далее – мероприятие без взаимодействия);  </w:t>
      </w:r>
    </w:p>
    <w:p w:rsidR="002D0A81" w:rsidRPr="009E1F1C" w:rsidRDefault="00726279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г) </w:t>
      </w:r>
      <w:r w:rsidR="00437F2E"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227927" w:rsidRPr="009E1F1C">
        <w:rPr>
          <w:rFonts w:ascii="Times New Roman" w:hAnsi="Times New Roman" w:cs="Times New Roman"/>
          <w:sz w:val="28"/>
          <w:szCs w:val="28"/>
        </w:rPr>
        <w:t xml:space="preserve">   </w:t>
      </w:r>
      <w:r w:rsidRPr="009E1F1C">
        <w:rPr>
          <w:rFonts w:ascii="Times New Roman" w:hAnsi="Times New Roman" w:cs="Times New Roman"/>
          <w:sz w:val="28"/>
          <w:szCs w:val="28"/>
        </w:rPr>
        <w:t xml:space="preserve">Материалы по результатам мероприятия без взаимодействия (Акт выездного обследования, Акт наблюдения за  </w:t>
      </w:r>
      <w:r w:rsidR="00227927" w:rsidRPr="009E1F1C">
        <w:rPr>
          <w:rFonts w:ascii="Times New Roman" w:hAnsi="Times New Roman" w:cs="Times New Roman"/>
          <w:sz w:val="28"/>
          <w:szCs w:val="28"/>
        </w:rPr>
        <w:t>соблюдением</w:t>
      </w:r>
      <w:r w:rsidR="002D0A81" w:rsidRPr="009E1F1C">
        <w:rPr>
          <w:rFonts w:ascii="Times New Roman" w:hAnsi="Times New Roman" w:cs="Times New Roman"/>
          <w:sz w:val="28"/>
          <w:szCs w:val="28"/>
        </w:rPr>
        <w:t xml:space="preserve"> обязательных требований, Заключение по результатам контрольного (надзорного)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экспертизы, отобранных в ходе выездного обследования проб и т.д.), позволяющие сделать логический вывод (аналитическую связку) вероятного нарушения с действиями виновного лица);</w:t>
      </w:r>
    </w:p>
    <w:p w:rsidR="002D0A81" w:rsidRPr="009E1F1C" w:rsidRDefault="002D0A8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lastRenderedPageBreak/>
        <w:t>В случае, если такие мероприятия не проводились или их проведение не планируется, информацию необходимо отражать в мотивированном представлении;</w:t>
      </w:r>
    </w:p>
    <w:p w:rsidR="002D0A81" w:rsidRPr="009E1F1C" w:rsidRDefault="002D0A8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При значительном объеме выгружаемых данных в органы прокуратуры представляется выписка, подписанная ответственными должностными лицами контрольного (надзорного) органа.</w:t>
      </w:r>
    </w:p>
    <w:p w:rsidR="00DD060A" w:rsidRPr="009E1F1C" w:rsidRDefault="002D0A8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д)      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требований; выгрузки из информационных сист</w:t>
      </w:r>
      <w:r w:rsidR="0001605C" w:rsidRPr="009E1F1C">
        <w:rPr>
          <w:rFonts w:ascii="Times New Roman" w:hAnsi="Times New Roman" w:cs="Times New Roman"/>
          <w:sz w:val="28"/>
          <w:szCs w:val="28"/>
        </w:rPr>
        <w:t>ем, данные из</w:t>
      </w:r>
      <w:r w:rsidR="00DD060A" w:rsidRPr="009E1F1C">
        <w:rPr>
          <w:rFonts w:ascii="Times New Roman" w:hAnsi="Times New Roman" w:cs="Times New Roman"/>
          <w:sz w:val="28"/>
          <w:szCs w:val="28"/>
        </w:rPr>
        <w:t xml:space="preserve"> соответствующих отчетов, также иные сведения;</w:t>
      </w:r>
    </w:p>
    <w:p w:rsidR="00DD060A" w:rsidRPr="009E1F1C" w:rsidRDefault="00DD060A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Представляемые сведения должны поддаваться прочтению и подписываться должностными лицами контрольного (надзорного) органа, иметь индивидуализирующие признаки, обеспечивающие достоверность и прослеживаемость представленных данных.</w:t>
      </w:r>
    </w:p>
    <w:p w:rsidR="00137651" w:rsidRPr="009E1F1C" w:rsidRDefault="00DD060A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е)       Информация о ранее </w:t>
      </w:r>
      <w:r w:rsidR="00137651" w:rsidRPr="009E1F1C">
        <w:rPr>
          <w:rFonts w:ascii="Times New Roman" w:hAnsi="Times New Roman" w:cs="Times New Roman"/>
          <w:sz w:val="28"/>
          <w:szCs w:val="28"/>
        </w:rPr>
        <w:t>проведенных (за прошедший год) и планируемых  (на текущий год) профилактических и контрольных (надзорных) мероприятий (в случае, если такие мероприятия не проводились или не планируется их проведение, информацию отражать в мотивированном представлении);</w:t>
      </w:r>
      <w:r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137651" w:rsidRPr="009E1F1C">
        <w:rPr>
          <w:rFonts w:ascii="Times New Roman" w:hAnsi="Times New Roman" w:cs="Times New Roman"/>
          <w:sz w:val="28"/>
          <w:szCs w:val="28"/>
        </w:rPr>
        <w:t>информация о не устранении нарушений в разумный срок, выявленных при мероприятиях без взаимодействия или профилактических визитах, об объявлении предостережений о недоступности нарушения обязательных требований;</w:t>
      </w:r>
    </w:p>
    <w:p w:rsidR="00137651" w:rsidRPr="009E1F1C" w:rsidRDefault="0013765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ж)      Иные документы подтверждающие необходимость проведения внепланового контрольного (надзорного) мероприятия.</w:t>
      </w:r>
    </w:p>
    <w:p w:rsidR="00B92C98" w:rsidRPr="009E1F1C" w:rsidRDefault="00B92C98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98" w:rsidRPr="009E1F1C" w:rsidRDefault="00B92C98" w:rsidP="00726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1C">
        <w:rPr>
          <w:rFonts w:ascii="Times New Roman" w:hAnsi="Times New Roman" w:cs="Times New Roman"/>
          <w:b/>
          <w:sz w:val="28"/>
          <w:szCs w:val="28"/>
        </w:rPr>
        <w:t>Особое внимание!</w:t>
      </w:r>
    </w:p>
    <w:p w:rsidR="00B92C98" w:rsidRPr="009E1F1C" w:rsidRDefault="00B92C98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При направлении 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 на согласование в органы прокуратуры проверить документальное подтверждение содержащих в мотивированном представлении сведений, в том числе параметров «сработавшего» индикатора </w:t>
      </w:r>
      <w:r w:rsidR="00BB5691" w:rsidRPr="009E1F1C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требований.</w:t>
      </w:r>
    </w:p>
    <w:p w:rsidR="00BB5691" w:rsidRPr="009E1F1C" w:rsidRDefault="00BB569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Документы (снимки с экрана, выгрузки из информационных систем и т.п.), представляемые в органы прокуратуры на согласование проведения внеплановых контрольных (надзорных) мероприятий индикаторам риска должны быть датированы и заверены подписями должностных лиц и печатью контрольного (надзорного) органа (для материалов на бумажном носителе), в случае направления материалов на электронном носителе – подтверждение ЭЦП;</w:t>
      </w:r>
    </w:p>
    <w:p w:rsidR="00BB5691" w:rsidRPr="009E1F1C" w:rsidRDefault="00BB569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Кроме того, материалы, подтверждающие «срабатывающие» индикатора риска нарушения обязательных требований должны быть актуальны индикатор риска «сработал» в текущем расчетном периоде (месяц, неделя), исключить случаи, если индикатор риска «сработал» в январе, что </w:t>
      </w:r>
      <w:r w:rsidRPr="009E1F1C">
        <w:rPr>
          <w:rFonts w:ascii="Times New Roman" w:hAnsi="Times New Roman" w:cs="Times New Roman"/>
          <w:sz w:val="28"/>
          <w:szCs w:val="28"/>
        </w:rPr>
        <w:lastRenderedPageBreak/>
        <w:t>зафиксировано информационными системами, отчетами, а материалы на согласование в органы прокуратуры</w:t>
      </w:r>
      <w:r w:rsidR="00AC4389" w:rsidRPr="009E1F1C">
        <w:rPr>
          <w:rFonts w:ascii="Times New Roman" w:hAnsi="Times New Roman" w:cs="Times New Roman"/>
          <w:sz w:val="28"/>
          <w:szCs w:val="28"/>
        </w:rPr>
        <w:t xml:space="preserve"> направляться</w:t>
      </w:r>
      <w:r w:rsidRPr="009E1F1C">
        <w:rPr>
          <w:rFonts w:ascii="Times New Roman" w:hAnsi="Times New Roman" w:cs="Times New Roman"/>
          <w:sz w:val="28"/>
          <w:szCs w:val="28"/>
        </w:rPr>
        <w:t xml:space="preserve"> в марте).</w:t>
      </w:r>
    </w:p>
    <w:p w:rsidR="000B7B9B" w:rsidRPr="009E1F1C" w:rsidRDefault="00137651" w:rsidP="007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DD060A" w:rsidRPr="009E1F1C">
        <w:rPr>
          <w:rFonts w:ascii="Times New Roman" w:hAnsi="Times New Roman" w:cs="Times New Roman"/>
          <w:sz w:val="28"/>
          <w:szCs w:val="28"/>
        </w:rPr>
        <w:t xml:space="preserve">  </w:t>
      </w:r>
      <w:r w:rsidR="0001605C" w:rsidRPr="009E1F1C">
        <w:rPr>
          <w:rFonts w:ascii="Times New Roman" w:hAnsi="Times New Roman" w:cs="Times New Roman"/>
          <w:sz w:val="28"/>
          <w:szCs w:val="28"/>
        </w:rPr>
        <w:t xml:space="preserve"> </w:t>
      </w:r>
      <w:r w:rsidR="002D0A81" w:rsidRPr="009E1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BDA" w:rsidRPr="009E1F1C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I</w:t>
      </w:r>
      <w:r w:rsidR="00456A79" w:rsidRPr="009E1F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1F1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06BDA" w:rsidRPr="009E1F1C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BDA" w:rsidRPr="009E1F1C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1C">
        <w:rPr>
          <w:rFonts w:ascii="Times New Roman" w:hAnsi="Times New Roman" w:cs="Times New Roman"/>
          <w:sz w:val="28"/>
          <w:szCs w:val="28"/>
        </w:rPr>
        <w:t>10. Внеплановое конт</w:t>
      </w:r>
      <w:r w:rsidR="00456A79" w:rsidRPr="009E1F1C">
        <w:rPr>
          <w:rFonts w:ascii="Times New Roman" w:hAnsi="Times New Roman" w:cs="Times New Roman"/>
          <w:sz w:val="28"/>
          <w:szCs w:val="28"/>
        </w:rPr>
        <w:t>рольное (надзорное) мероприятие</w:t>
      </w:r>
      <w:r w:rsidRPr="009E1F1C">
        <w:rPr>
          <w:rFonts w:ascii="Times New Roman" w:hAnsi="Times New Roman" w:cs="Times New Roman"/>
          <w:sz w:val="28"/>
          <w:szCs w:val="28"/>
        </w:rPr>
        <w:t xml:space="preserve">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AD4E37" w:rsidRPr="009E1F1C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F1C">
        <w:rPr>
          <w:sz w:val="28"/>
          <w:szCs w:val="28"/>
        </w:rPr>
        <w:t>1</w:t>
      </w:r>
      <w:r w:rsidR="00456A79" w:rsidRPr="009E1F1C">
        <w:rPr>
          <w:sz w:val="28"/>
          <w:szCs w:val="28"/>
        </w:rPr>
        <w:t>1</w:t>
      </w:r>
      <w:r w:rsidRPr="009E1F1C">
        <w:rPr>
          <w:sz w:val="28"/>
          <w:szCs w:val="28"/>
        </w:rPr>
        <w:t xml:space="preserve">. </w:t>
      </w:r>
      <w:r w:rsidR="00CA391A" w:rsidRPr="009E1F1C">
        <w:rPr>
          <w:sz w:val="28"/>
          <w:szCs w:val="28"/>
        </w:rPr>
        <w:t>Согласование внеплановых контрольных надзорных мероприятий осуществляется в соответствии с</w:t>
      </w:r>
      <w:r w:rsidR="00456A79" w:rsidRPr="009E1F1C">
        <w:rPr>
          <w:sz w:val="28"/>
          <w:szCs w:val="28"/>
        </w:rPr>
        <w:t xml:space="preserve"> Федеральным законом № 248-ФЗ и</w:t>
      </w:r>
      <w:r w:rsidR="00CA391A" w:rsidRPr="009E1F1C">
        <w:rPr>
          <w:sz w:val="28"/>
          <w:szCs w:val="28"/>
        </w:rPr>
        <w:t xml:space="preserve"> приказом </w:t>
      </w:r>
      <w:r w:rsidR="00DB3594" w:rsidRPr="009E1F1C">
        <w:rPr>
          <w:sz w:val="28"/>
          <w:szCs w:val="28"/>
        </w:rPr>
        <w:t>Ген</w:t>
      </w:r>
      <w:r w:rsidR="00456A79" w:rsidRPr="009E1F1C">
        <w:rPr>
          <w:sz w:val="28"/>
          <w:szCs w:val="28"/>
        </w:rPr>
        <w:t xml:space="preserve">еральной </w:t>
      </w:r>
      <w:r w:rsidR="00DB3594" w:rsidRPr="009E1F1C">
        <w:rPr>
          <w:sz w:val="28"/>
          <w:szCs w:val="28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Default="00AD4E37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F1C" w:rsidRPr="009E1F1C" w:rsidRDefault="009E1F1C" w:rsidP="009658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E37" w:rsidRPr="009E1F1C" w:rsidRDefault="00AD4E37" w:rsidP="00AC43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E37" w:rsidRPr="009E1F1C" w:rsidRDefault="00AD4E37" w:rsidP="00AD4E3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D4E37" w:rsidRPr="009E1F1C" w:rsidRDefault="00AD4E37" w:rsidP="00AD4E3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1F1C">
        <w:rPr>
          <w:b/>
          <w:sz w:val="28"/>
          <w:szCs w:val="28"/>
        </w:rPr>
        <w:lastRenderedPageBreak/>
        <w:t>План реализации работы по снижению в контрольных (надзорных) органах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AD4E37" w:rsidRPr="009E1F1C" w:rsidRDefault="00007066" w:rsidP="00AD4E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E1F1C">
        <w:rPr>
          <w:sz w:val="28"/>
          <w:szCs w:val="28"/>
        </w:rPr>
        <w:t>.</w:t>
      </w: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957"/>
        <w:gridCol w:w="4522"/>
        <w:gridCol w:w="2146"/>
        <w:gridCol w:w="2230"/>
      </w:tblGrid>
      <w:tr w:rsidR="00AD4E37" w:rsidRPr="009E1F1C" w:rsidTr="00432D20">
        <w:tc>
          <w:tcPr>
            <w:tcW w:w="959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№ п.п.</w:t>
            </w:r>
          </w:p>
        </w:tc>
        <w:tc>
          <w:tcPr>
            <w:tcW w:w="4536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127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33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Срок исполнения</w:t>
            </w:r>
          </w:p>
        </w:tc>
      </w:tr>
      <w:tr w:rsidR="00AD4E37" w:rsidRPr="009E1F1C" w:rsidTr="00432D20">
        <w:tc>
          <w:tcPr>
            <w:tcW w:w="959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D4E37" w:rsidRPr="009E1F1C" w:rsidRDefault="00AD4E37" w:rsidP="00432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Утвердить ведомственным распорядительным актом перечень документов, прилагаемых к решению о проведении контрольного (надзорного) мероприятия</w:t>
            </w:r>
          </w:p>
        </w:tc>
        <w:tc>
          <w:tcPr>
            <w:tcW w:w="2127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Контрольный (надзорных) орган</w:t>
            </w:r>
          </w:p>
        </w:tc>
        <w:tc>
          <w:tcPr>
            <w:tcW w:w="2233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Апрель 2025г.</w:t>
            </w:r>
          </w:p>
        </w:tc>
      </w:tr>
      <w:tr w:rsidR="00AD4E37" w:rsidRPr="009E1F1C" w:rsidTr="00432D20">
        <w:tc>
          <w:tcPr>
            <w:tcW w:w="959" w:type="dxa"/>
          </w:tcPr>
          <w:p w:rsidR="00AD4E37" w:rsidRPr="009E1F1C" w:rsidRDefault="00AD4E37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D4E37" w:rsidRPr="009E1F1C" w:rsidRDefault="00432D20" w:rsidP="00432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Разработать методические рекомендации по подготовке и оформлению документов и материалов, направляемых в органы прокуратуры в целях согласования и проведения контрольных (надзорных) мероприятий по каждому индикатору риска нарушения обязательных требований и ознакомить на обучающих семинарах инспекторский состав. </w:t>
            </w:r>
          </w:p>
        </w:tc>
        <w:tc>
          <w:tcPr>
            <w:tcW w:w="2127" w:type="dxa"/>
          </w:tcPr>
          <w:p w:rsidR="00AD4E37" w:rsidRPr="009E1F1C" w:rsidRDefault="00432D20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Контрольный (надзорный) орган</w:t>
            </w:r>
          </w:p>
        </w:tc>
        <w:tc>
          <w:tcPr>
            <w:tcW w:w="2233" w:type="dxa"/>
          </w:tcPr>
          <w:p w:rsidR="00AD4E37" w:rsidRPr="009E1F1C" w:rsidRDefault="00432D20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Апрель 2025г.</w:t>
            </w:r>
          </w:p>
        </w:tc>
      </w:tr>
      <w:tr w:rsidR="00AD4E37" w:rsidRPr="009E1F1C" w:rsidTr="00432D20">
        <w:tc>
          <w:tcPr>
            <w:tcW w:w="959" w:type="dxa"/>
          </w:tcPr>
          <w:p w:rsidR="00AD4E37" w:rsidRPr="009E1F1C" w:rsidRDefault="00432D20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1034F" w:rsidRPr="009E1F1C" w:rsidRDefault="002E6B96" w:rsidP="00432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Проведение ежемесячных обучающих семинаров по повышению компетенции инспекторского состава в целях минимизации количества отказов органами прокуратуры в согласовании проведения неплановых контрольных (надзорных) мероприятий и не допущения нарушений требований положений Федерального закона от 31 июля 2020г. № 248-ФЗ «О </w:t>
            </w:r>
            <w:r w:rsidR="004031C9" w:rsidRPr="009E1F1C">
              <w:rPr>
                <w:sz w:val="28"/>
                <w:szCs w:val="28"/>
              </w:rPr>
              <w:t xml:space="preserve">государственном контроле (надзоре) и муниципальном контроле в Российской Федерации», Правил формирования и ведения единого реестра контрольных (надзорных) мероприятий, утвержденных </w:t>
            </w:r>
            <w:r w:rsidR="004031C9" w:rsidRPr="009E1F1C">
              <w:rPr>
                <w:sz w:val="28"/>
                <w:szCs w:val="28"/>
              </w:rPr>
              <w:lastRenderedPageBreak/>
              <w:t>постановлением Правительства Российской Федерации от 16 апреля 2021г. № 604 «Об утверждении Правил формирования и ведения единого реестра контрольных</w:t>
            </w:r>
            <w:r w:rsidR="00D1034F" w:rsidRPr="009E1F1C">
              <w:rPr>
                <w:sz w:val="28"/>
                <w:szCs w:val="28"/>
              </w:rPr>
              <w:t xml:space="preserve"> (надзорных) мероприятий и о внесении изменения в постановление Правительства Российской Федерации от 28 апреля 2015г. № 415», и Порядка согласования контрольным (надзорным) органом с прокурором  </w:t>
            </w:r>
            <w:r w:rsidR="004031C9" w:rsidRPr="009E1F1C">
              <w:rPr>
                <w:sz w:val="28"/>
                <w:szCs w:val="28"/>
              </w:rPr>
              <w:t xml:space="preserve"> </w:t>
            </w:r>
            <w:r w:rsidR="00D1034F" w:rsidRPr="009E1F1C">
              <w:rPr>
                <w:sz w:val="28"/>
                <w:szCs w:val="28"/>
              </w:rPr>
              <w:t xml:space="preserve">проведения внепланового контрольного (надзора) мероприятия, учрежденного приказом Генеральной </w:t>
            </w:r>
          </w:p>
          <w:p w:rsidR="00D1034F" w:rsidRPr="009E1F1C" w:rsidRDefault="00D1034F" w:rsidP="00432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прокуратуры Российской Федерации от 02 июля 2021г. № 294 «О реализации Федерального закона от 31 июля 2020г. № 248-ФЗ «О </w:t>
            </w:r>
          </w:p>
          <w:p w:rsidR="00AD4E37" w:rsidRPr="009E1F1C" w:rsidRDefault="00D1034F" w:rsidP="00432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государственном контроле (надзора) и муниципальном контроле в Российской Федерации».  </w:t>
            </w:r>
            <w:r w:rsidR="004031C9" w:rsidRPr="009E1F1C">
              <w:rPr>
                <w:sz w:val="28"/>
                <w:szCs w:val="28"/>
              </w:rPr>
              <w:t xml:space="preserve"> </w:t>
            </w:r>
            <w:r w:rsidR="002E6B96" w:rsidRPr="009E1F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D4E37" w:rsidRPr="009E1F1C" w:rsidRDefault="00D1034F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lastRenderedPageBreak/>
              <w:t>Контрольный (надзорный) орган</w:t>
            </w:r>
          </w:p>
        </w:tc>
        <w:tc>
          <w:tcPr>
            <w:tcW w:w="2233" w:type="dxa"/>
          </w:tcPr>
          <w:p w:rsidR="00AD4E37" w:rsidRPr="009E1F1C" w:rsidRDefault="00AC4389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Не проводиться</w:t>
            </w:r>
          </w:p>
        </w:tc>
      </w:tr>
      <w:tr w:rsidR="00D1034F" w:rsidRPr="009E1F1C" w:rsidTr="00D1034F">
        <w:tc>
          <w:tcPr>
            <w:tcW w:w="959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D1034F" w:rsidRPr="009E1F1C" w:rsidRDefault="00C23652" w:rsidP="00C236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Организовать внутренний контроль по соблюдению инспектором составом Правил формирования и ведения единого реестра контрольных (надзорных) мероприятий и Порядка согласования контрольным (надзорным) органом с прокурором проведения внепланового контрольного (надзорного) мероприятия. </w:t>
            </w:r>
          </w:p>
        </w:tc>
        <w:tc>
          <w:tcPr>
            <w:tcW w:w="2127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Контрольный (надзорный) орган</w:t>
            </w:r>
          </w:p>
        </w:tc>
        <w:tc>
          <w:tcPr>
            <w:tcW w:w="2233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Постоянно</w:t>
            </w:r>
          </w:p>
        </w:tc>
      </w:tr>
      <w:tr w:rsidR="00D1034F" w:rsidRPr="009E1F1C" w:rsidTr="00D1034F">
        <w:tc>
          <w:tcPr>
            <w:tcW w:w="959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1034F" w:rsidRPr="009E1F1C" w:rsidRDefault="00C23652" w:rsidP="00C236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Проводить анализ причин стказов органами прокуратуры в согласовании проведения внеплановых контрольных (надзорных) мероприятий.</w:t>
            </w:r>
          </w:p>
        </w:tc>
        <w:tc>
          <w:tcPr>
            <w:tcW w:w="2127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Контрольный (надзорный) орган</w:t>
            </w:r>
          </w:p>
        </w:tc>
        <w:tc>
          <w:tcPr>
            <w:tcW w:w="2233" w:type="dxa"/>
          </w:tcPr>
          <w:p w:rsidR="00D1034F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Еженедельно</w:t>
            </w:r>
          </w:p>
        </w:tc>
      </w:tr>
      <w:tr w:rsidR="00C23652" w:rsidRPr="009E1F1C" w:rsidTr="00D1034F">
        <w:tc>
          <w:tcPr>
            <w:tcW w:w="959" w:type="dxa"/>
          </w:tcPr>
          <w:p w:rsidR="00C23652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23652" w:rsidRPr="009E1F1C" w:rsidRDefault="00C23652" w:rsidP="00C236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t xml:space="preserve">По результатам анализа обеспечить взаимодействие с органами </w:t>
            </w:r>
            <w:r w:rsidRPr="009E1F1C">
              <w:rPr>
                <w:sz w:val="28"/>
                <w:szCs w:val="28"/>
              </w:rPr>
              <w:lastRenderedPageBreak/>
              <w:t xml:space="preserve">прокуратуры по сокращению количества ошибок и отказов в согласовании проведения внеплановых контрольных (надзорных) мероприятий. </w:t>
            </w:r>
          </w:p>
        </w:tc>
        <w:tc>
          <w:tcPr>
            <w:tcW w:w="2127" w:type="dxa"/>
          </w:tcPr>
          <w:p w:rsidR="00C23652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lastRenderedPageBreak/>
              <w:t xml:space="preserve">Контрольный (надзорный) </w:t>
            </w:r>
            <w:r w:rsidRPr="009E1F1C">
              <w:rPr>
                <w:sz w:val="28"/>
                <w:szCs w:val="28"/>
              </w:rPr>
              <w:lastRenderedPageBreak/>
              <w:t>орган во взаимодействии с органами прокуратуры</w:t>
            </w:r>
          </w:p>
        </w:tc>
        <w:tc>
          <w:tcPr>
            <w:tcW w:w="2233" w:type="dxa"/>
          </w:tcPr>
          <w:p w:rsidR="00C23652" w:rsidRPr="009E1F1C" w:rsidRDefault="00C23652" w:rsidP="00AD4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F1C">
              <w:rPr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007066" w:rsidRPr="009E1F1C" w:rsidRDefault="00007066" w:rsidP="00C2365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sectPr w:rsidR="00007066" w:rsidRPr="009E1F1C" w:rsidSect="00E56A6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DE" w:rsidRDefault="00D625DE" w:rsidP="00106BDA">
      <w:pPr>
        <w:spacing w:after="0" w:line="240" w:lineRule="auto"/>
      </w:pPr>
      <w:r>
        <w:separator/>
      </w:r>
    </w:p>
  </w:endnote>
  <w:endnote w:type="continuationSeparator" w:id="0">
    <w:p w:rsidR="00D625DE" w:rsidRDefault="00D625DE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DE" w:rsidRDefault="00D625DE" w:rsidP="00106BDA">
      <w:pPr>
        <w:spacing w:after="0" w:line="240" w:lineRule="auto"/>
      </w:pPr>
      <w:r>
        <w:separator/>
      </w:r>
    </w:p>
  </w:footnote>
  <w:footnote w:type="continuationSeparator" w:id="0">
    <w:p w:rsidR="00D625DE" w:rsidRDefault="00D625DE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01729"/>
      <w:docPartObj>
        <w:docPartGallery w:val="Page Numbers (Top of Page)"/>
        <w:docPartUnique/>
      </w:docPartObj>
    </w:sdtPr>
    <w:sdtEndPr/>
    <w:sdtContent>
      <w:p w:rsidR="00106BDA" w:rsidRDefault="00106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16">
          <w:rPr>
            <w:noProof/>
          </w:rPr>
          <w:t>2</w:t>
        </w:r>
        <w:r>
          <w:fldChar w:fldCharType="end"/>
        </w:r>
      </w:p>
    </w:sdtContent>
  </w:sdt>
  <w:p w:rsidR="00106BDA" w:rsidRDefault="00106B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4A2"/>
    <w:multiLevelType w:val="hybridMultilevel"/>
    <w:tmpl w:val="CB4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F"/>
    <w:rsid w:val="00007066"/>
    <w:rsid w:val="0001605C"/>
    <w:rsid w:val="000B7B9B"/>
    <w:rsid w:val="00106BDA"/>
    <w:rsid w:val="00132078"/>
    <w:rsid w:val="00137651"/>
    <w:rsid w:val="00143699"/>
    <w:rsid w:val="00153ED9"/>
    <w:rsid w:val="00156E9D"/>
    <w:rsid w:val="00167AE6"/>
    <w:rsid w:val="0018711A"/>
    <w:rsid w:val="001A28CF"/>
    <w:rsid w:val="001F0ED0"/>
    <w:rsid w:val="00200DDC"/>
    <w:rsid w:val="00227927"/>
    <w:rsid w:val="002C1956"/>
    <w:rsid w:val="002D0A81"/>
    <w:rsid w:val="002E0489"/>
    <w:rsid w:val="002E6B96"/>
    <w:rsid w:val="00312BC8"/>
    <w:rsid w:val="004031C9"/>
    <w:rsid w:val="00421F5C"/>
    <w:rsid w:val="00432D20"/>
    <w:rsid w:val="00437F2E"/>
    <w:rsid w:val="00456A79"/>
    <w:rsid w:val="004B38C1"/>
    <w:rsid w:val="004F6778"/>
    <w:rsid w:val="005A00BE"/>
    <w:rsid w:val="00641EE2"/>
    <w:rsid w:val="00645268"/>
    <w:rsid w:val="007055BA"/>
    <w:rsid w:val="00711160"/>
    <w:rsid w:val="00726279"/>
    <w:rsid w:val="00752109"/>
    <w:rsid w:val="00913404"/>
    <w:rsid w:val="00932EDB"/>
    <w:rsid w:val="00965856"/>
    <w:rsid w:val="009B3375"/>
    <w:rsid w:val="009E1F1C"/>
    <w:rsid w:val="00A6072E"/>
    <w:rsid w:val="00A90C57"/>
    <w:rsid w:val="00AC4389"/>
    <w:rsid w:val="00AD4E37"/>
    <w:rsid w:val="00B04CDE"/>
    <w:rsid w:val="00B420C9"/>
    <w:rsid w:val="00B53BB0"/>
    <w:rsid w:val="00B92C98"/>
    <w:rsid w:val="00B96700"/>
    <w:rsid w:val="00BB5691"/>
    <w:rsid w:val="00C17A3F"/>
    <w:rsid w:val="00C23652"/>
    <w:rsid w:val="00C43D61"/>
    <w:rsid w:val="00C616A3"/>
    <w:rsid w:val="00C74DA8"/>
    <w:rsid w:val="00CA391A"/>
    <w:rsid w:val="00D1034F"/>
    <w:rsid w:val="00D46F39"/>
    <w:rsid w:val="00D625DE"/>
    <w:rsid w:val="00D82D44"/>
    <w:rsid w:val="00DA3F10"/>
    <w:rsid w:val="00DB3594"/>
    <w:rsid w:val="00DD060A"/>
    <w:rsid w:val="00E0010C"/>
    <w:rsid w:val="00E56A69"/>
    <w:rsid w:val="00E92916"/>
    <w:rsid w:val="00F72C57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3159"/>
  <w15:docId w15:val="{476DDD38-4F3D-4706-8550-B1449743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table" w:styleId="a9">
    <w:name w:val="Table Grid"/>
    <w:basedOn w:val="a1"/>
    <w:uiPriority w:val="59"/>
    <w:rsid w:val="00AD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Наталья Анатольевна Моржова</cp:lastModifiedBy>
  <cp:revision>17</cp:revision>
  <cp:lastPrinted>2025-03-12T09:13:00Z</cp:lastPrinted>
  <dcterms:created xsi:type="dcterms:W3CDTF">2025-03-12T05:41:00Z</dcterms:created>
  <dcterms:modified xsi:type="dcterms:W3CDTF">2025-05-19T09:25:00Z</dcterms:modified>
</cp:coreProperties>
</file>